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417A" w14:textId="550D8DE0" w:rsidR="00C17C30" w:rsidRDefault="00C17C30" w:rsidP="00C17C30">
      <w:pPr>
        <w:rPr>
          <w:rFonts w:eastAsia="Calibri" w:cs="Times New Roman"/>
          <w:color w:val="296529"/>
          <w:sz w:val="24"/>
          <w:szCs w:val="24"/>
        </w:rPr>
      </w:pPr>
      <w:r w:rsidRPr="00C17C30">
        <w:rPr>
          <w:rFonts w:eastAsia="Calibri" w:cs="Times New Roman"/>
          <w:color w:val="296529"/>
          <w:sz w:val="24"/>
          <w:szCs w:val="24"/>
        </w:rPr>
        <w:t>Früherkennung von Ausfallrisken (</w:t>
      </w:r>
      <w:r w:rsidR="007A3245">
        <w:rPr>
          <w:rFonts w:eastAsia="Calibri" w:cs="Times New Roman"/>
          <w:color w:val="296529"/>
          <w:sz w:val="24"/>
          <w:szCs w:val="24"/>
        </w:rPr>
        <w:t>S</w:t>
      </w:r>
      <w:r w:rsidRPr="00C17C30">
        <w:rPr>
          <w:rFonts w:eastAsia="Calibri" w:cs="Times New Roman"/>
          <w:color w:val="296529"/>
          <w:sz w:val="24"/>
          <w:szCs w:val="24"/>
        </w:rPr>
        <w:t>eminar à 8 UE</w:t>
      </w:r>
      <w:r w:rsidR="004A7110">
        <w:rPr>
          <w:rFonts w:eastAsia="Calibri" w:cs="Times New Roman"/>
          <w:color w:val="296529"/>
          <w:sz w:val="24"/>
          <w:szCs w:val="24"/>
        </w:rPr>
        <w:t>, in zwei Teilen à 4 UE</w:t>
      </w:r>
      <w:r w:rsidRPr="00C17C30">
        <w:rPr>
          <w:rFonts w:eastAsia="Calibri" w:cs="Times New Roman"/>
          <w:color w:val="296529"/>
          <w:sz w:val="24"/>
          <w:szCs w:val="24"/>
        </w:rPr>
        <w:t>)</w:t>
      </w:r>
    </w:p>
    <w:p w14:paraId="200830BB" w14:textId="5ABF80F6" w:rsidR="00C17C30" w:rsidRDefault="00C17C30" w:rsidP="00C17C30">
      <w:pPr>
        <w:spacing w:after="0" w:line="276" w:lineRule="auto"/>
        <w:rPr>
          <w:rFonts w:eastAsia="Calibri" w:cs="Times New Roman"/>
          <w:noProof/>
          <w:sz w:val="24"/>
          <w:szCs w:val="24"/>
        </w:rPr>
      </w:pPr>
      <w:r w:rsidRPr="00C17C30">
        <w:rPr>
          <w:rFonts w:eastAsia="Calibri" w:cs="Times New Roman"/>
          <w:noProof/>
          <w:sz w:val="24"/>
          <w:szCs w:val="24"/>
        </w:rPr>
        <w:t xml:space="preserve">Liquiditätssicherung durch </w:t>
      </w:r>
      <w:r>
        <w:rPr>
          <w:rFonts w:eastAsia="Calibri" w:cs="Times New Roman"/>
          <w:noProof/>
          <w:sz w:val="24"/>
          <w:szCs w:val="24"/>
        </w:rPr>
        <w:t>Monito</w:t>
      </w:r>
      <w:r w:rsidR="00101783">
        <w:rPr>
          <w:rFonts w:eastAsia="Calibri" w:cs="Times New Roman"/>
          <w:noProof/>
          <w:sz w:val="24"/>
          <w:szCs w:val="24"/>
        </w:rPr>
        <w:t>r</w:t>
      </w:r>
      <w:r w:rsidRPr="00C17C30">
        <w:rPr>
          <w:rFonts w:eastAsia="Calibri" w:cs="Times New Roman"/>
          <w:noProof/>
          <w:sz w:val="24"/>
          <w:szCs w:val="24"/>
        </w:rPr>
        <w:t xml:space="preserve">ing </w:t>
      </w:r>
      <w:r>
        <w:rPr>
          <w:rFonts w:eastAsia="Calibri" w:cs="Times New Roman"/>
          <w:noProof/>
          <w:sz w:val="24"/>
          <w:szCs w:val="24"/>
        </w:rPr>
        <w:t>der</w:t>
      </w:r>
      <w:r w:rsidRPr="00C17C30">
        <w:rPr>
          <w:rFonts w:eastAsia="Calibri" w:cs="Times New Roman"/>
          <w:noProof/>
          <w:sz w:val="24"/>
          <w:szCs w:val="24"/>
        </w:rPr>
        <w:t xml:space="preserve"> </w:t>
      </w:r>
      <w:r>
        <w:rPr>
          <w:rFonts w:eastAsia="Calibri" w:cs="Times New Roman"/>
          <w:noProof/>
          <w:sz w:val="24"/>
          <w:szCs w:val="24"/>
        </w:rPr>
        <w:t>Kunden</w:t>
      </w:r>
    </w:p>
    <w:p w14:paraId="17409DF7" w14:textId="77777777" w:rsidR="00F86948" w:rsidRPr="00F86948" w:rsidRDefault="00F86948" w:rsidP="00C17C30">
      <w:pPr>
        <w:spacing w:after="0" w:line="276" w:lineRule="auto"/>
        <w:rPr>
          <w:rFonts w:eastAsia="Calibri" w:cs="Times New Roman"/>
          <w:b w:val="0"/>
          <w:bCs w:val="0"/>
          <w:noProof/>
          <w:szCs w:val="20"/>
        </w:rPr>
      </w:pPr>
    </w:p>
    <w:p w14:paraId="6FD11FAB" w14:textId="57C447ED" w:rsidR="00C17C30" w:rsidRPr="0003554A" w:rsidRDefault="00C17C30" w:rsidP="00C17C30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ÜBER DAS SEMINAR</w:t>
      </w:r>
    </w:p>
    <w:p w14:paraId="1965F64E" w14:textId="38ED5589" w:rsidR="00C17C30" w:rsidRPr="00C17C30" w:rsidRDefault="00C17C30" w:rsidP="00C17C30">
      <w:pPr>
        <w:spacing w:after="120"/>
        <w:rPr>
          <w:rFonts w:eastAsia="Calibri" w:cs="Times New Roman"/>
          <w:b w:val="0"/>
          <w:bCs w:val="0"/>
          <w:szCs w:val="20"/>
        </w:rPr>
      </w:pPr>
      <w:r w:rsidRPr="00C17C30">
        <w:rPr>
          <w:rFonts w:eastAsia="Calibri" w:cs="Times New Roman"/>
          <w:b w:val="0"/>
          <w:bCs w:val="0"/>
          <w:szCs w:val="20"/>
        </w:rPr>
        <w:t xml:space="preserve">Kostensteigerungen, Inflation, Versorgungskrise. Der </w:t>
      </w:r>
      <w:r>
        <w:rPr>
          <w:rFonts w:eastAsia="Calibri" w:cs="Times New Roman"/>
          <w:b w:val="0"/>
          <w:bCs w:val="0"/>
          <w:szCs w:val="20"/>
        </w:rPr>
        <w:t xml:space="preserve">zunehmende wirtschaftliche </w:t>
      </w:r>
      <w:r w:rsidRPr="00C17C30">
        <w:rPr>
          <w:rFonts w:eastAsia="Calibri" w:cs="Times New Roman"/>
          <w:b w:val="0"/>
          <w:bCs w:val="0"/>
          <w:szCs w:val="20"/>
        </w:rPr>
        <w:t xml:space="preserve">Druck auf die Unternehmen wirkt sich direkt auf die Bilanzen von Unternehmen aus – womöglich auch auf die Ihrer Kunden und Lieferanten. </w:t>
      </w:r>
      <w:r>
        <w:rPr>
          <w:rFonts w:eastAsia="Calibri" w:cs="Times New Roman"/>
          <w:b w:val="0"/>
          <w:bCs w:val="0"/>
          <w:szCs w:val="20"/>
        </w:rPr>
        <w:t>D</w:t>
      </w:r>
      <w:r w:rsidRPr="00C17C30">
        <w:rPr>
          <w:rFonts w:eastAsia="Calibri" w:cs="Times New Roman"/>
          <w:b w:val="0"/>
          <w:bCs w:val="0"/>
          <w:szCs w:val="20"/>
        </w:rPr>
        <w:t xml:space="preserve">er Trend der seit Jahren rückläufigen Unternehmensinsolvenzen </w:t>
      </w:r>
      <w:r>
        <w:rPr>
          <w:rFonts w:eastAsia="Calibri" w:cs="Times New Roman"/>
          <w:b w:val="0"/>
          <w:bCs w:val="0"/>
          <w:szCs w:val="20"/>
        </w:rPr>
        <w:t xml:space="preserve">hat sich </w:t>
      </w:r>
      <w:r w:rsidRPr="00C17C30">
        <w:rPr>
          <w:rFonts w:eastAsia="Calibri" w:cs="Times New Roman"/>
          <w:b w:val="0"/>
          <w:bCs w:val="0"/>
          <w:szCs w:val="20"/>
        </w:rPr>
        <w:t xml:space="preserve">nun umkehrt. </w:t>
      </w:r>
      <w:r>
        <w:rPr>
          <w:rFonts w:eastAsia="Calibri" w:cs="Times New Roman"/>
          <w:b w:val="0"/>
          <w:bCs w:val="0"/>
          <w:szCs w:val="20"/>
        </w:rPr>
        <w:t xml:space="preserve">Seit nun zwei Jahren steigen die Insolvenzzahlen in Deutschland, in Europa und in vielen Ländern weltweit. </w:t>
      </w:r>
      <w:r w:rsidRPr="00C17C30">
        <w:rPr>
          <w:rFonts w:eastAsia="Calibri" w:cs="Times New Roman"/>
          <w:b w:val="0"/>
          <w:bCs w:val="0"/>
          <w:szCs w:val="20"/>
        </w:rPr>
        <w:t xml:space="preserve">Um nicht unverschuldet in den Strudel einer möglichen </w:t>
      </w:r>
      <w:r>
        <w:rPr>
          <w:rFonts w:eastAsia="Calibri" w:cs="Times New Roman"/>
          <w:b w:val="0"/>
          <w:bCs w:val="0"/>
          <w:szCs w:val="20"/>
        </w:rPr>
        <w:t>Insolvenz</w:t>
      </w:r>
      <w:r w:rsidRPr="00C17C30">
        <w:rPr>
          <w:rFonts w:eastAsia="Calibri" w:cs="Times New Roman"/>
          <w:b w:val="0"/>
          <w:bCs w:val="0"/>
          <w:szCs w:val="20"/>
        </w:rPr>
        <w:t xml:space="preserve">welle zu geraten, ist es ratsam präventive Maßnahmen zu ergreifen. In diesem Seminar erfahren Sie, wie Sie sich wappnen: </w:t>
      </w:r>
      <w:r>
        <w:rPr>
          <w:rFonts w:eastAsia="Calibri" w:cs="Times New Roman"/>
          <w:b w:val="0"/>
          <w:bCs w:val="0"/>
          <w:szCs w:val="20"/>
        </w:rPr>
        <w:t>Insolvenzanzeichen bei Kund</w:t>
      </w:r>
      <w:r w:rsidRPr="00C17C30">
        <w:rPr>
          <w:rFonts w:eastAsia="Calibri" w:cs="Times New Roman"/>
          <w:b w:val="0"/>
          <w:bCs w:val="0"/>
          <w:szCs w:val="20"/>
        </w:rPr>
        <w:t xml:space="preserve">en frühzeitig erkennen, Ausfälle </w:t>
      </w:r>
      <w:r>
        <w:rPr>
          <w:rFonts w:eastAsia="Calibri" w:cs="Times New Roman"/>
          <w:b w:val="0"/>
          <w:bCs w:val="0"/>
          <w:szCs w:val="20"/>
        </w:rPr>
        <w:t xml:space="preserve">durch schnelle und wirkungsvolle Gegenmaßnahmen </w:t>
      </w:r>
      <w:r w:rsidRPr="00C17C30">
        <w:rPr>
          <w:rFonts w:eastAsia="Calibri" w:cs="Times New Roman"/>
          <w:b w:val="0"/>
          <w:bCs w:val="0"/>
          <w:szCs w:val="20"/>
        </w:rPr>
        <w:t xml:space="preserve">verhindern und </w:t>
      </w:r>
      <w:r>
        <w:rPr>
          <w:rFonts w:eastAsia="Calibri" w:cs="Times New Roman"/>
          <w:b w:val="0"/>
          <w:bCs w:val="0"/>
          <w:szCs w:val="20"/>
        </w:rPr>
        <w:t xml:space="preserve">potenzielle </w:t>
      </w:r>
      <w:r w:rsidRPr="00C17C30">
        <w:rPr>
          <w:rFonts w:eastAsia="Calibri" w:cs="Times New Roman"/>
          <w:b w:val="0"/>
          <w:bCs w:val="0"/>
          <w:szCs w:val="20"/>
        </w:rPr>
        <w:t xml:space="preserve">Schäden </w:t>
      </w:r>
      <w:r>
        <w:rPr>
          <w:rFonts w:eastAsia="Calibri" w:cs="Times New Roman"/>
          <w:b w:val="0"/>
          <w:bCs w:val="0"/>
          <w:szCs w:val="20"/>
        </w:rPr>
        <w:t>vermindern</w:t>
      </w:r>
      <w:r w:rsidRPr="00C17C30">
        <w:rPr>
          <w:rFonts w:eastAsia="Calibri" w:cs="Times New Roman"/>
          <w:b w:val="0"/>
          <w:bCs w:val="0"/>
          <w:szCs w:val="20"/>
        </w:rPr>
        <w:t>.</w:t>
      </w:r>
    </w:p>
    <w:p w14:paraId="3F1C73D8" w14:textId="77777777" w:rsidR="00C17C30" w:rsidRPr="002263B2" w:rsidRDefault="00C17C30" w:rsidP="00C17C30">
      <w:pPr>
        <w:spacing w:after="0"/>
        <w:rPr>
          <w:rFonts w:eastAsia="Calibri" w:cs="Times New Roman"/>
          <w:szCs w:val="20"/>
        </w:rPr>
      </w:pPr>
      <w:r w:rsidRPr="002263B2">
        <w:rPr>
          <w:rFonts w:eastAsia="Calibri" w:cs="Times New Roman"/>
          <w:szCs w:val="20"/>
        </w:rPr>
        <w:t>SEMINARINHALTE</w:t>
      </w:r>
    </w:p>
    <w:p w14:paraId="13BC3A41" w14:textId="7DB80687" w:rsidR="002B7544" w:rsidRP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I: </w:t>
      </w:r>
      <w:r w:rsidRPr="002B7544">
        <w:rPr>
          <w:rFonts w:eastAsia="Calibri" w:cs="Times New Roman"/>
          <w:b w:val="0"/>
          <w:bCs w:val="0"/>
          <w:szCs w:val="20"/>
        </w:rPr>
        <w:t>Identifikation der unternehmensspezifischen Risiken und Erstellung einer „Risiko-Landkarte“</w:t>
      </w:r>
    </w:p>
    <w:p w14:paraId="3713990B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Risikoberechnung / Risikokennzahl</w:t>
      </w:r>
    </w:p>
    <w:p w14:paraId="05E31524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Unternehmen mit Bonitätsinformationen</w:t>
      </w:r>
    </w:p>
    <w:p w14:paraId="73AEA6E5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Unternehmen ohne Bonitätsinformationen</w:t>
      </w:r>
    </w:p>
    <w:p w14:paraId="0E458E77" w14:textId="03463069" w:rsidR="002B7544" w:rsidRP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II: </w:t>
      </w:r>
      <w:r w:rsidRPr="002B7544">
        <w:rPr>
          <w:rFonts w:eastAsia="Calibri" w:cs="Times New Roman"/>
          <w:b w:val="0"/>
          <w:bCs w:val="0"/>
          <w:szCs w:val="20"/>
        </w:rPr>
        <w:t>Monitoring und Identifikation von Krisen und Krisenstadien bei Kunden</w:t>
      </w:r>
    </w:p>
    <w:p w14:paraId="1D7714AB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Indikatoren in den Stadien</w:t>
      </w:r>
    </w:p>
    <w:p w14:paraId="7C60A8C1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Handlungsoptionen in den Krisenstadien</w:t>
      </w:r>
    </w:p>
    <w:p w14:paraId="2336DCA4" w14:textId="3FE1DF82" w:rsidR="002B7544" w:rsidRP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III: </w:t>
      </w:r>
      <w:r w:rsidRPr="002B7544">
        <w:rPr>
          <w:rFonts w:eastAsia="Calibri" w:cs="Times New Roman"/>
          <w:b w:val="0"/>
          <w:bCs w:val="0"/>
          <w:szCs w:val="20"/>
        </w:rPr>
        <w:t>Konzeption, Aufbau und Nutzung eines Systems der Früherkennung von Ausfallrisiken</w:t>
      </w:r>
    </w:p>
    <w:p w14:paraId="0ABB420B" w14:textId="77777777" w:rsidR="002B7544" w:rsidRPr="002B7544" w:rsidRDefault="002B7544" w:rsidP="002B7544">
      <w:pPr>
        <w:numPr>
          <w:ilvl w:val="0"/>
          <w:numId w:val="7"/>
        </w:numPr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Festlegung der zu beobachtenden Kunden und der Art des Kundenmonitoring</w:t>
      </w:r>
    </w:p>
    <w:p w14:paraId="4CE157E4" w14:textId="77777777" w:rsidR="002B7544" w:rsidRPr="002B7544" w:rsidRDefault="002B7544" w:rsidP="002B7544">
      <w:pPr>
        <w:numPr>
          <w:ilvl w:val="0"/>
          <w:numId w:val="7"/>
        </w:numPr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Sammlung, Abstimmung und Definition der Beobachtungspunkte</w:t>
      </w:r>
    </w:p>
    <w:p w14:paraId="7BF5B2FF" w14:textId="77777777" w:rsidR="002B7544" w:rsidRPr="002B7544" w:rsidRDefault="002B7544" w:rsidP="002B7544">
      <w:pPr>
        <w:numPr>
          <w:ilvl w:val="0"/>
          <w:numId w:val="7"/>
        </w:numPr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Verteilung von Monitoringaufgaben und -zuständigkeiten im Unternehmen</w:t>
      </w:r>
    </w:p>
    <w:p w14:paraId="1BE0D36E" w14:textId="49C09D74" w:rsidR="002B7544" w:rsidRP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IV: </w:t>
      </w:r>
      <w:r w:rsidRPr="002B7544">
        <w:rPr>
          <w:rFonts w:eastAsia="Calibri" w:cs="Times New Roman"/>
          <w:b w:val="0"/>
          <w:bCs w:val="0"/>
          <w:szCs w:val="20"/>
        </w:rPr>
        <w:t>Konzeption und Abstimmung von Reaktionsmustern</w:t>
      </w:r>
    </w:p>
    <w:p w14:paraId="1B1BE0EE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Interne Maßnahmen: Datenanalyse und -bewertung</w:t>
      </w:r>
    </w:p>
    <w:p w14:paraId="1790C642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Kommunikation mit Kunden und Dienstleistern</w:t>
      </w:r>
    </w:p>
    <w:p w14:paraId="28128382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Überblick über Sicherungsmaßnahmen</w:t>
      </w:r>
    </w:p>
    <w:p w14:paraId="5EBA0FB4" w14:textId="77777777" w:rsid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V: </w:t>
      </w:r>
      <w:r w:rsidRPr="002B7544">
        <w:rPr>
          <w:rFonts w:eastAsia="Calibri" w:cs="Times New Roman"/>
          <w:b w:val="0"/>
          <w:bCs w:val="0"/>
          <w:szCs w:val="20"/>
        </w:rPr>
        <w:t xml:space="preserve">Worst Case: Kundeninsolvenz </w:t>
      </w:r>
    </w:p>
    <w:p w14:paraId="1B4B37CC" w14:textId="35C6F48E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Stopp or Go?</w:t>
      </w:r>
    </w:p>
    <w:p w14:paraId="2FA85198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Risiko Insolvenzanfechtung</w:t>
      </w:r>
    </w:p>
    <w:p w14:paraId="674F0ECE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Zusammenarbeit mit dem Insolvenzverwalter</w:t>
      </w:r>
    </w:p>
    <w:p w14:paraId="4D75B3A3" w14:textId="77777777" w:rsidR="00D959EE" w:rsidRDefault="00D959EE" w:rsidP="00D959EE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35445263" w14:textId="3EA7FAF3" w:rsidR="00D959EE" w:rsidRPr="00D959EE" w:rsidRDefault="00D959EE" w:rsidP="00D959EE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TEILNEHMERKREIS</w:t>
      </w:r>
    </w:p>
    <w:p w14:paraId="65494670" w14:textId="709029E4" w:rsidR="00D959EE" w:rsidRPr="00D959EE" w:rsidRDefault="00D959EE" w:rsidP="00D959EE">
      <w:pPr>
        <w:spacing w:after="120"/>
        <w:rPr>
          <w:rFonts w:eastAsia="Calibri" w:cs="Times New Roman"/>
          <w:b w:val="0"/>
          <w:bCs w:val="0"/>
          <w:szCs w:val="20"/>
        </w:rPr>
      </w:pPr>
      <w:r w:rsidRPr="00D959EE">
        <w:rPr>
          <w:rFonts w:eastAsia="Calibri" w:cs="Times New Roman"/>
          <w:b w:val="0"/>
          <w:bCs w:val="0"/>
          <w:szCs w:val="20"/>
        </w:rPr>
        <w:t>Dieses Seminar spricht Fach</w:t>
      </w:r>
      <w:r w:rsidR="00D73EB4">
        <w:rPr>
          <w:rFonts w:eastAsia="Calibri" w:cs="Times New Roman"/>
          <w:b w:val="0"/>
          <w:bCs w:val="0"/>
          <w:szCs w:val="20"/>
        </w:rPr>
        <w:t>- und Leitungs</w:t>
      </w:r>
      <w:r w:rsidRPr="00D959EE">
        <w:rPr>
          <w:rFonts w:eastAsia="Calibri" w:cs="Times New Roman"/>
          <w:b w:val="0"/>
          <w:bCs w:val="0"/>
          <w:szCs w:val="20"/>
        </w:rPr>
        <w:t xml:space="preserve">kräfte aus </w:t>
      </w:r>
      <w:r>
        <w:rPr>
          <w:rFonts w:eastAsia="Calibri" w:cs="Times New Roman"/>
          <w:b w:val="0"/>
          <w:bCs w:val="0"/>
          <w:szCs w:val="20"/>
        </w:rPr>
        <w:t>C</w:t>
      </w:r>
      <w:r w:rsidRPr="00D959EE">
        <w:rPr>
          <w:rFonts w:eastAsia="Calibri" w:cs="Times New Roman"/>
          <w:b w:val="0"/>
          <w:bCs w:val="0"/>
          <w:szCs w:val="20"/>
        </w:rPr>
        <w:t xml:space="preserve">redit- und Forderungsmanagement, </w:t>
      </w:r>
      <w:r w:rsidR="00F86948">
        <w:rPr>
          <w:rFonts w:eastAsia="Calibri" w:cs="Times New Roman"/>
          <w:b w:val="0"/>
          <w:bCs w:val="0"/>
          <w:szCs w:val="20"/>
        </w:rPr>
        <w:t>kaufmännische Leiter sowie Leitungskräfte aus Finanzen und Vertrieb</w:t>
      </w:r>
      <w:r w:rsidRPr="00D959EE">
        <w:rPr>
          <w:rFonts w:eastAsia="Calibri" w:cs="Times New Roman"/>
          <w:b w:val="0"/>
          <w:bCs w:val="0"/>
          <w:szCs w:val="20"/>
        </w:rPr>
        <w:t xml:space="preserve"> </w:t>
      </w:r>
      <w:r w:rsidR="00F86948">
        <w:rPr>
          <w:rFonts w:eastAsia="Calibri" w:cs="Times New Roman"/>
          <w:b w:val="0"/>
          <w:bCs w:val="0"/>
          <w:szCs w:val="20"/>
        </w:rPr>
        <w:t>a</w:t>
      </w:r>
      <w:r w:rsidRPr="00D959EE">
        <w:rPr>
          <w:rFonts w:eastAsia="Calibri" w:cs="Times New Roman"/>
          <w:b w:val="0"/>
          <w:bCs w:val="0"/>
          <w:szCs w:val="20"/>
        </w:rPr>
        <w:t>n</w:t>
      </w:r>
      <w:r>
        <w:rPr>
          <w:rFonts w:eastAsia="Calibri" w:cs="Times New Roman"/>
          <w:b w:val="0"/>
          <w:bCs w:val="0"/>
          <w:szCs w:val="20"/>
        </w:rPr>
        <w:t>.</w:t>
      </w:r>
    </w:p>
    <w:p w14:paraId="13DF8317" w14:textId="77777777" w:rsidR="00D73EB4" w:rsidRDefault="00D73EB4" w:rsidP="00D73EB4">
      <w:pPr>
        <w:contextualSpacing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DOZENT</w:t>
      </w:r>
    </w:p>
    <w:p w14:paraId="0A16C1E9" w14:textId="44F6D2F4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 w:rsidRPr="00D73EB4">
        <w:rPr>
          <w:rFonts w:eastAsia="Calibri" w:cs="Times New Roman"/>
          <w:szCs w:val="20"/>
        </w:rPr>
        <w:t>Rudolf H. Müller</w:t>
      </w:r>
      <w:r>
        <w:rPr>
          <w:rFonts w:eastAsia="Calibri" w:cs="Times New Roman"/>
          <w:szCs w:val="20"/>
        </w:rPr>
        <w:t xml:space="preserve"> </w:t>
      </w:r>
      <w:r w:rsidRPr="007A3245">
        <w:rPr>
          <w:rFonts w:eastAsia="Calibri" w:cs="Times New Roman"/>
          <w:b w:val="0"/>
          <w:bCs w:val="0"/>
          <w:szCs w:val="20"/>
        </w:rPr>
        <w:t>ist</w:t>
      </w:r>
      <w:r>
        <w:rPr>
          <w:rFonts w:eastAsia="Calibri" w:cs="Times New Roman"/>
          <w:szCs w:val="20"/>
        </w:rPr>
        <w:t xml:space="preserve"> </w:t>
      </w:r>
      <w:r w:rsidRPr="00D73EB4">
        <w:rPr>
          <w:rFonts w:eastAsia="Calibri" w:cs="Times New Roman"/>
          <w:b w:val="0"/>
          <w:bCs w:val="0"/>
          <w:szCs w:val="20"/>
        </w:rPr>
        <w:t xml:space="preserve">Diplom-Kaufmann, Unternehmensberater und Spezialist für Forderungs- und </w:t>
      </w:r>
      <w:r>
        <w:rPr>
          <w:rFonts w:eastAsia="Calibri" w:cs="Times New Roman"/>
          <w:b w:val="0"/>
          <w:bCs w:val="0"/>
          <w:szCs w:val="20"/>
        </w:rPr>
        <w:t>C</w:t>
      </w:r>
      <w:r w:rsidRPr="00D73EB4">
        <w:rPr>
          <w:rFonts w:eastAsia="Calibri" w:cs="Times New Roman"/>
          <w:b w:val="0"/>
          <w:bCs w:val="0"/>
          <w:szCs w:val="20"/>
        </w:rPr>
        <w:t xml:space="preserve">reditmanagement mit langjähriger Praxiserfahrung im Mittelstand. Er ist Herausgeber des Portals </w:t>
      </w:r>
      <w:hyperlink r:id="rId5" w:history="1">
        <w:r w:rsidRPr="00D73EB4">
          <w:rPr>
            <w:rStyle w:val="Hyperlink"/>
            <w:rFonts w:eastAsia="Calibri" w:cs="Times New Roman"/>
            <w:b w:val="0"/>
            <w:bCs w:val="0"/>
            <w:szCs w:val="20"/>
          </w:rPr>
          <w:t>www.forderungsmanagement.com</w:t>
        </w:r>
      </w:hyperlink>
      <w:r>
        <w:rPr>
          <w:rFonts w:eastAsia="Calibri" w:cs="Times New Roman"/>
          <w:b w:val="0"/>
          <w:bCs w:val="0"/>
          <w:szCs w:val="20"/>
        </w:rPr>
        <w:t xml:space="preserve"> </w:t>
      </w:r>
      <w:r w:rsidRPr="00D73EB4">
        <w:rPr>
          <w:rFonts w:eastAsia="Calibri" w:cs="Times New Roman"/>
          <w:b w:val="0"/>
          <w:bCs w:val="0"/>
          <w:szCs w:val="20"/>
        </w:rPr>
        <w:t>und Autor bekannter Fachbücher wie "Erfolgreiches Forderungsmanagement", "Forderungsmanagement für KMU nach dem Minimalprinzip" und „Noch Fragen, Karsten?- 100 Fragen und Antworten rund um das Credit Management“.</w:t>
      </w:r>
      <w:r>
        <w:rPr>
          <w:rFonts w:eastAsia="Calibri" w:cs="Times New Roman"/>
          <w:b w:val="0"/>
          <w:bCs w:val="0"/>
          <w:szCs w:val="20"/>
        </w:rPr>
        <w:t xml:space="preserve"> Seit fast 25 Jahren ist er außerdem als Dozent für viele Seminare und Lehrgänge zum Forderungsmanagement in ganz Deutschland tätig.</w:t>
      </w:r>
    </w:p>
    <w:p w14:paraId="2619C610" w14:textId="7777777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45D0130D" w14:textId="47C5CB39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METHODE/MEDIEN</w:t>
      </w:r>
    </w:p>
    <w:p w14:paraId="5A77BF40" w14:textId="0873924A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V</w:t>
      </w:r>
      <w:r w:rsidRPr="00D73EB4">
        <w:rPr>
          <w:rFonts w:eastAsia="Calibri" w:cs="Times New Roman"/>
          <w:b w:val="0"/>
          <w:bCs w:val="0"/>
          <w:szCs w:val="20"/>
        </w:rPr>
        <w:t>orträge, Praxisbeispiele, Diskussion, Erfahrungsaustausch, Seminarunterlagen</w:t>
      </w:r>
    </w:p>
    <w:p w14:paraId="3EF0D8CF" w14:textId="7777777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6D0B439E" w14:textId="77777777" w:rsidR="00464F28" w:rsidRDefault="00464F28">
      <w:pPr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Cs w:val="0"/>
          <w:szCs w:val="20"/>
        </w:rPr>
        <w:br w:type="page"/>
      </w:r>
    </w:p>
    <w:p w14:paraId="38BA5FE1" w14:textId="0CA9E6E3" w:rsidR="00D73EB4" w:rsidRDefault="00D73EB4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Cs w:val="0"/>
          <w:szCs w:val="20"/>
        </w:rPr>
        <w:lastRenderedPageBreak/>
        <w:t>TAKE AWAY</w:t>
      </w:r>
    </w:p>
    <w:p w14:paraId="61587C9D" w14:textId="7013C5B1" w:rsidR="00F86948" w:rsidRDefault="00F86948" w:rsidP="002B7544">
      <w:pPr>
        <w:numPr>
          <w:ilvl w:val="0"/>
          <w:numId w:val="4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Sie lernen weiche und harte Frühindikatoren für Krisen bei Kunden (B2B) kennen.</w:t>
      </w:r>
    </w:p>
    <w:p w14:paraId="6906053B" w14:textId="05569CBB" w:rsidR="00F86948" w:rsidRDefault="00F86948" w:rsidP="002B7544">
      <w:pPr>
        <w:numPr>
          <w:ilvl w:val="0"/>
          <w:numId w:val="4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Sie erfahren, wie Sie mit solchen Indizien umgehen und wie diese zu interpretieren sind</w:t>
      </w:r>
      <w:r w:rsidR="002B7544">
        <w:rPr>
          <w:rFonts w:eastAsia="Calibri" w:cs="Times New Roman"/>
          <w:b w:val="0"/>
          <w:bCs w:val="0"/>
          <w:szCs w:val="20"/>
        </w:rPr>
        <w:t>.</w:t>
      </w:r>
    </w:p>
    <w:p w14:paraId="0A4541EC" w14:textId="66AB562C" w:rsidR="002B7544" w:rsidRDefault="002B7544" w:rsidP="002B7544">
      <w:pPr>
        <w:numPr>
          <w:ilvl w:val="0"/>
          <w:numId w:val="4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Sie erhalten Tipps für Handlungsoptionen in den verschiedenen Stadien der Kundenkrise.</w:t>
      </w:r>
    </w:p>
    <w:p w14:paraId="1B5CE86D" w14:textId="30F56B6B" w:rsidR="002B7544" w:rsidRPr="00D73EB4" w:rsidRDefault="002B7544" w:rsidP="002B7544">
      <w:pPr>
        <w:numPr>
          <w:ilvl w:val="0"/>
          <w:numId w:val="4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Sie lernen die </w:t>
      </w:r>
      <w:r w:rsidR="009B2D1D">
        <w:rPr>
          <w:rFonts w:eastAsia="Calibri" w:cs="Times New Roman"/>
          <w:b w:val="0"/>
          <w:bCs w:val="0"/>
          <w:szCs w:val="20"/>
        </w:rPr>
        <w:t>Vorgehensweise</w:t>
      </w:r>
      <w:r>
        <w:rPr>
          <w:rFonts w:eastAsia="Calibri" w:cs="Times New Roman"/>
          <w:b w:val="0"/>
          <w:bCs w:val="0"/>
          <w:szCs w:val="20"/>
        </w:rPr>
        <w:t xml:space="preserve"> zur Einführung eines Systems der Früherkennung Schritt für Schritt kennen.</w:t>
      </w:r>
    </w:p>
    <w:p w14:paraId="3083813C" w14:textId="5A9F5309" w:rsidR="00D73EB4" w:rsidRPr="00D73EB4" w:rsidRDefault="002263B2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br/>
      </w:r>
      <w:r>
        <w:rPr>
          <w:rFonts w:eastAsia="Calibri" w:cs="Times New Roman"/>
          <w:bCs w:val="0"/>
          <w:szCs w:val="20"/>
        </w:rPr>
        <w:t>SEMINARBESCHEINIGUNG</w:t>
      </w:r>
    </w:p>
    <w:p w14:paraId="4001AD98" w14:textId="49B7BA9B" w:rsidR="00D73EB4" w:rsidRPr="00D73EB4" w:rsidRDefault="002263B2" w:rsidP="002263B2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Alle Seminarteilnehmer*innen</w:t>
      </w:r>
      <w:r w:rsidR="00D73EB4" w:rsidRPr="00D73EB4">
        <w:rPr>
          <w:rFonts w:eastAsia="Calibri" w:cs="Times New Roman"/>
          <w:b w:val="0"/>
          <w:bCs w:val="0"/>
          <w:szCs w:val="20"/>
        </w:rPr>
        <w:t xml:space="preserve"> erhalten eine qualifizierte Teilnahmebescheinigung mit detaillierter </w:t>
      </w:r>
      <w:r>
        <w:rPr>
          <w:rFonts w:eastAsia="Calibri" w:cs="Times New Roman"/>
          <w:b w:val="0"/>
          <w:bCs w:val="0"/>
          <w:szCs w:val="20"/>
        </w:rPr>
        <w:t>Nennung</w:t>
      </w:r>
      <w:r w:rsidR="00D73EB4" w:rsidRPr="00D73EB4">
        <w:rPr>
          <w:rFonts w:eastAsia="Calibri" w:cs="Times New Roman"/>
          <w:b w:val="0"/>
          <w:bCs w:val="0"/>
          <w:szCs w:val="20"/>
        </w:rPr>
        <w:t xml:space="preserve"> der vermittelten Seminarinhalte.</w:t>
      </w:r>
    </w:p>
    <w:p w14:paraId="1B6D6F0C" w14:textId="02C0FF3A" w:rsidR="00D73EB4" w:rsidRPr="00D73EB4" w:rsidRDefault="002263B2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TERMIN UND ORT</w:t>
      </w:r>
      <w:r w:rsidR="007A3245">
        <w:rPr>
          <w:rFonts w:eastAsia="Calibri" w:cs="Times New Roman"/>
          <w:bCs w:val="0"/>
          <w:szCs w:val="20"/>
        </w:rPr>
        <w:t xml:space="preserve"> 2024</w:t>
      </w:r>
    </w:p>
    <w:p w14:paraId="38FBE53B" w14:textId="3928D0DB" w:rsidR="00B3156A" w:rsidRDefault="00497214" w:rsidP="002B7544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24. September 2024</w:t>
      </w:r>
      <w:r>
        <w:rPr>
          <w:rFonts w:eastAsia="Calibri" w:cs="Times New Roman"/>
          <w:b w:val="0"/>
          <w:bCs w:val="0"/>
          <w:szCs w:val="20"/>
        </w:rPr>
        <w:tab/>
        <w:t xml:space="preserve">09.00 Uhr bis 16.00 Uhr (8 Unterrichtseinheiten) | </w:t>
      </w:r>
      <w:r w:rsidRPr="002B7544">
        <w:rPr>
          <w:rFonts w:eastAsia="Calibri" w:cs="Times New Roman"/>
          <w:b w:val="0"/>
          <w:bCs w:val="0"/>
          <w:szCs w:val="20"/>
        </w:rPr>
        <w:t xml:space="preserve">Online </w:t>
      </w:r>
      <w:r>
        <w:rPr>
          <w:rFonts w:eastAsia="Calibri" w:cs="Times New Roman"/>
          <w:b w:val="0"/>
          <w:bCs w:val="0"/>
          <w:szCs w:val="20"/>
        </w:rPr>
        <w:t>–</w:t>
      </w:r>
      <w:r w:rsidRPr="002B7544">
        <w:rPr>
          <w:rFonts w:eastAsia="Calibri" w:cs="Times New Roman"/>
          <w:b w:val="0"/>
          <w:bCs w:val="0"/>
          <w:szCs w:val="20"/>
        </w:rPr>
        <w:t xml:space="preserve"> Seminar</w:t>
      </w:r>
    </w:p>
    <w:p w14:paraId="44C7BC33" w14:textId="77777777" w:rsidR="004A7110" w:rsidRDefault="004A7110" w:rsidP="002B7544">
      <w:pPr>
        <w:spacing w:after="120"/>
        <w:rPr>
          <w:rFonts w:eastAsia="Calibri" w:cs="Times New Roman"/>
          <w:b w:val="0"/>
          <w:bCs w:val="0"/>
          <w:szCs w:val="20"/>
        </w:rPr>
      </w:pPr>
    </w:p>
    <w:p w14:paraId="1B8D1C2A" w14:textId="21C261A6" w:rsidR="004A7110" w:rsidRPr="004A7110" w:rsidRDefault="004A7110" w:rsidP="004A7110">
      <w:pPr>
        <w:contextualSpacing/>
        <w:rPr>
          <w:rFonts w:eastAsia="Calibri" w:cs="Times New Roman"/>
          <w:bCs w:val="0"/>
          <w:color w:val="C00000"/>
          <w:szCs w:val="20"/>
        </w:rPr>
      </w:pPr>
      <w:r w:rsidRPr="004A7110">
        <w:rPr>
          <w:rFonts w:eastAsia="Calibri" w:cs="Times New Roman"/>
          <w:bCs w:val="0"/>
          <w:color w:val="C00000"/>
          <w:szCs w:val="20"/>
        </w:rPr>
        <w:t>TERMIN UND ORT 2025</w:t>
      </w:r>
    </w:p>
    <w:p w14:paraId="0F7E3095" w14:textId="0ABDF853" w:rsidR="004A7110" w:rsidRPr="004A7110" w:rsidRDefault="004A7110" w:rsidP="004A7110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4A7110">
        <w:rPr>
          <w:rFonts w:eastAsia="Calibri" w:cs="Times New Roman"/>
          <w:b w:val="0"/>
          <w:bCs w:val="0"/>
          <w:color w:val="C00000"/>
          <w:szCs w:val="20"/>
        </w:rPr>
        <w:t>11. März 2025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ab/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ab/>
        <w:t>09.00 Uhr bis 13.00 Uhr (4 Unterrichtseinheiten) Teil 1</w:t>
      </w:r>
      <w:r w:rsidR="00AC724F">
        <w:rPr>
          <w:rFonts w:eastAsia="Calibri" w:cs="Times New Roman"/>
          <w:b w:val="0"/>
          <w:bCs w:val="0"/>
          <w:color w:val="C00000"/>
          <w:szCs w:val="20"/>
        </w:rPr>
        <w:t xml:space="preserve"> 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| Online – Seminar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br/>
        <w:t>13. März 2025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ab/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ab/>
        <w:t>09.00 Uhr bis 13.00 Uhr (4 Unterrichtseinheiten) Teil 2 | Online – Seminar</w:t>
      </w:r>
    </w:p>
    <w:p w14:paraId="3DC11CFC" w14:textId="2CBBD8C3" w:rsidR="004A7110" w:rsidRPr="004A7110" w:rsidRDefault="004A7110" w:rsidP="002B7544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4A7110">
        <w:rPr>
          <w:rFonts w:eastAsia="Calibri" w:cs="Times New Roman"/>
          <w:b w:val="0"/>
          <w:bCs w:val="0"/>
          <w:color w:val="C00000"/>
          <w:szCs w:val="20"/>
        </w:rPr>
        <w:t>------------------------------------------------------------------------------------------------------------------------</w:t>
      </w:r>
    </w:p>
    <w:p w14:paraId="4A4888C3" w14:textId="34EC50E9" w:rsidR="004A7110" w:rsidRPr="004A7110" w:rsidRDefault="004A7110" w:rsidP="004A7110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4A7110">
        <w:rPr>
          <w:rFonts w:eastAsia="Calibri" w:cs="Times New Roman"/>
          <w:b w:val="0"/>
          <w:bCs w:val="0"/>
          <w:color w:val="C00000"/>
          <w:szCs w:val="20"/>
        </w:rPr>
        <w:t>23. September 2025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ab/>
        <w:t>09.00 Uhr bis 1</w:t>
      </w:r>
      <w:r w:rsidR="00F17943">
        <w:rPr>
          <w:rFonts w:eastAsia="Calibri" w:cs="Times New Roman"/>
          <w:b w:val="0"/>
          <w:bCs w:val="0"/>
          <w:color w:val="C00000"/>
          <w:szCs w:val="20"/>
        </w:rPr>
        <w:t>2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.</w:t>
      </w:r>
      <w:r w:rsidR="00F17943">
        <w:rPr>
          <w:rFonts w:eastAsia="Calibri" w:cs="Times New Roman"/>
          <w:b w:val="0"/>
          <w:bCs w:val="0"/>
          <w:color w:val="C00000"/>
          <w:szCs w:val="20"/>
        </w:rPr>
        <w:t>3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0 Uhr (4 Unterrichtseinheiten) Teil 1</w:t>
      </w:r>
      <w:r w:rsidR="00AC724F">
        <w:rPr>
          <w:rFonts w:eastAsia="Calibri" w:cs="Times New Roman"/>
          <w:b w:val="0"/>
          <w:bCs w:val="0"/>
          <w:color w:val="C00000"/>
          <w:szCs w:val="20"/>
        </w:rPr>
        <w:t xml:space="preserve"> 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| Online – Seminar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br/>
        <w:t>25. September 2025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ab/>
        <w:t>09.00 Uhr bis 1</w:t>
      </w:r>
      <w:r w:rsidR="00F17943">
        <w:rPr>
          <w:rFonts w:eastAsia="Calibri" w:cs="Times New Roman"/>
          <w:b w:val="0"/>
          <w:bCs w:val="0"/>
          <w:color w:val="C00000"/>
          <w:szCs w:val="20"/>
        </w:rPr>
        <w:t>2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.</w:t>
      </w:r>
      <w:r w:rsidR="00F17943">
        <w:rPr>
          <w:rFonts w:eastAsia="Calibri" w:cs="Times New Roman"/>
          <w:b w:val="0"/>
          <w:bCs w:val="0"/>
          <w:color w:val="C00000"/>
          <w:szCs w:val="20"/>
        </w:rPr>
        <w:t>3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0 Uhr (4 Unterrichtseinheiten) Teil 2 | Online – Seminar</w:t>
      </w:r>
    </w:p>
    <w:p w14:paraId="329E0A9D" w14:textId="77777777" w:rsidR="004A7110" w:rsidRPr="002B7544" w:rsidRDefault="004A7110" w:rsidP="002B7544">
      <w:pPr>
        <w:spacing w:after="120"/>
        <w:rPr>
          <w:rFonts w:eastAsia="Calibri" w:cs="Times New Roman"/>
          <w:b w:val="0"/>
          <w:bCs w:val="0"/>
          <w:szCs w:val="20"/>
        </w:rPr>
      </w:pPr>
    </w:p>
    <w:sectPr w:rsidR="004A7110" w:rsidRPr="002B7544" w:rsidSect="00464F28"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21BB"/>
    <w:multiLevelType w:val="hybridMultilevel"/>
    <w:tmpl w:val="62224A3A"/>
    <w:lvl w:ilvl="0" w:tplc="FFFFFFFF">
      <w:start w:val="1"/>
      <w:numFmt w:val="lowerLetter"/>
      <w:lvlText w:val="%1."/>
      <w:lvlJc w:val="left"/>
      <w:pPr>
        <w:ind w:left="1916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F7FE1"/>
    <w:multiLevelType w:val="hybridMultilevel"/>
    <w:tmpl w:val="16B0D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7C47"/>
    <w:multiLevelType w:val="hybridMultilevel"/>
    <w:tmpl w:val="62224A3A"/>
    <w:lvl w:ilvl="0" w:tplc="FFFFFFFF">
      <w:start w:val="1"/>
      <w:numFmt w:val="lowerLetter"/>
      <w:lvlText w:val="%1."/>
      <w:lvlJc w:val="left"/>
      <w:pPr>
        <w:ind w:left="1773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441717"/>
    <w:multiLevelType w:val="hybridMultilevel"/>
    <w:tmpl w:val="62224A3A"/>
    <w:lvl w:ilvl="0" w:tplc="BAF011E2">
      <w:start w:val="1"/>
      <w:numFmt w:val="lowerLetter"/>
      <w:lvlText w:val="%1."/>
      <w:lvlJc w:val="left"/>
      <w:pPr>
        <w:ind w:left="1773" w:hanging="10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E420A0"/>
    <w:multiLevelType w:val="hybridMultilevel"/>
    <w:tmpl w:val="62224A3A"/>
    <w:lvl w:ilvl="0" w:tplc="FFFFFFFF">
      <w:start w:val="1"/>
      <w:numFmt w:val="lowerLetter"/>
      <w:lvlText w:val="%1."/>
      <w:lvlJc w:val="left"/>
      <w:pPr>
        <w:ind w:left="1916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B94A14"/>
    <w:multiLevelType w:val="hybridMultilevel"/>
    <w:tmpl w:val="62224A3A"/>
    <w:lvl w:ilvl="0" w:tplc="FFFFFFFF">
      <w:start w:val="1"/>
      <w:numFmt w:val="lowerLetter"/>
      <w:lvlText w:val="%1."/>
      <w:lvlJc w:val="left"/>
      <w:pPr>
        <w:ind w:left="1773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042B9D"/>
    <w:multiLevelType w:val="hybridMultilevel"/>
    <w:tmpl w:val="4D2861A6"/>
    <w:lvl w:ilvl="0" w:tplc="9DAEC17A">
      <w:start w:val="1"/>
      <w:numFmt w:val="bullet"/>
      <w:lvlText w:val=""/>
      <w:lvlJc w:val="left"/>
      <w:pPr>
        <w:ind w:left="1773" w:hanging="106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D60D10"/>
    <w:multiLevelType w:val="hybridMultilevel"/>
    <w:tmpl w:val="BCC2E93E"/>
    <w:lvl w:ilvl="0" w:tplc="9DAEC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2083C"/>
    <w:multiLevelType w:val="hybridMultilevel"/>
    <w:tmpl w:val="4AB20F58"/>
    <w:lvl w:ilvl="0" w:tplc="9DAEC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F91185"/>
    <w:multiLevelType w:val="hybridMultilevel"/>
    <w:tmpl w:val="7DF91185"/>
    <w:lvl w:ilvl="0" w:tplc="D5A0E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645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AC6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26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0EE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586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A69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0E7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364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1">
    <w:nsid w:val="7DF91186"/>
    <w:multiLevelType w:val="hybridMultilevel"/>
    <w:tmpl w:val="7DF91186"/>
    <w:lvl w:ilvl="0" w:tplc="04465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C0D6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5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869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6A5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661A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E4C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F45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768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85968721">
    <w:abstractNumId w:val="7"/>
  </w:num>
  <w:num w:numId="2" w16cid:durableId="691150670">
    <w:abstractNumId w:val="9"/>
  </w:num>
  <w:num w:numId="3" w16cid:durableId="3020756">
    <w:abstractNumId w:val="10"/>
  </w:num>
  <w:num w:numId="4" w16cid:durableId="1244603420">
    <w:abstractNumId w:val="8"/>
  </w:num>
  <w:num w:numId="5" w16cid:durableId="161821642">
    <w:abstractNumId w:val="1"/>
  </w:num>
  <w:num w:numId="6" w16cid:durableId="70540733">
    <w:abstractNumId w:val="3"/>
  </w:num>
  <w:num w:numId="7" w16cid:durableId="322854439">
    <w:abstractNumId w:val="2"/>
  </w:num>
  <w:num w:numId="8" w16cid:durableId="1256597805">
    <w:abstractNumId w:val="4"/>
  </w:num>
  <w:num w:numId="9" w16cid:durableId="330255868">
    <w:abstractNumId w:val="5"/>
  </w:num>
  <w:num w:numId="10" w16cid:durableId="1275937875">
    <w:abstractNumId w:val="0"/>
  </w:num>
  <w:num w:numId="11" w16cid:durableId="1530873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4A"/>
    <w:rsid w:val="0003554A"/>
    <w:rsid w:val="00101783"/>
    <w:rsid w:val="002263B2"/>
    <w:rsid w:val="002B4F80"/>
    <w:rsid w:val="002B7544"/>
    <w:rsid w:val="00464F28"/>
    <w:rsid w:val="00497214"/>
    <w:rsid w:val="004A7110"/>
    <w:rsid w:val="0070461C"/>
    <w:rsid w:val="007A3245"/>
    <w:rsid w:val="009B2D1D"/>
    <w:rsid w:val="00AA7CF7"/>
    <w:rsid w:val="00AC724F"/>
    <w:rsid w:val="00B3156A"/>
    <w:rsid w:val="00C17C30"/>
    <w:rsid w:val="00D73EB4"/>
    <w:rsid w:val="00D959EE"/>
    <w:rsid w:val="00DB0F8C"/>
    <w:rsid w:val="00F17943"/>
    <w:rsid w:val="00F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95E1"/>
  <w15:chartTrackingRefBased/>
  <w15:docId w15:val="{76BC6DBC-5DC3-4A87-8D51-0E6E3B6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 Light" w:eastAsiaTheme="minorHAnsi" w:hAnsi="Corbel Light" w:cstheme="minorBidi"/>
        <w:b/>
        <w:bCs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73E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derungs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Müller</dc:creator>
  <cp:keywords/>
  <dc:description/>
  <cp:lastModifiedBy>Rudolf Müller</cp:lastModifiedBy>
  <cp:revision>8</cp:revision>
  <dcterms:created xsi:type="dcterms:W3CDTF">2024-05-03T14:23:00Z</dcterms:created>
  <dcterms:modified xsi:type="dcterms:W3CDTF">2024-07-19T07:50:00Z</dcterms:modified>
</cp:coreProperties>
</file>